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«30100 - Медицина ғылымдары»</w:t>
      </w:r>
      <w:r w:rsidDel="00000000" w:rsidR="00000000" w:rsidRPr="00000000">
        <w:rPr>
          <w:rFonts w:ascii="Courier New" w:cs="Courier New" w:eastAsia="Courier New" w:hAnsi="Courier New"/>
          <w:color w:val="000000"/>
          <w:sz w:val="20"/>
          <w:szCs w:val="20"/>
          <w:highlight w:val="white"/>
          <w:rtl w:val="0"/>
        </w:rPr>
        <w:t xml:space="preserve"> </w:t>
      </w:r>
      <w:r w:rsidDel="00000000" w:rsidR="00000000" w:rsidRPr="00000000">
        <w:rPr>
          <w:rtl w:val="0"/>
        </w:rPr>
        <w:t xml:space="preserve">ғылыми бағыты бойынша қауымдастырылған профессор ғылыми атағын алу үшін ізденуші туралы</w:t>
      </w:r>
    </w:p>
    <w:p w:rsidR="00000000" w:rsidDel="00000000" w:rsidP="00000000" w:rsidRDefault="00000000" w:rsidRPr="00000000" w14:paraId="00000002">
      <w:pPr>
        <w:jc w:val="center"/>
        <w:rPr/>
      </w:pPr>
      <w:r w:rsidDel="00000000" w:rsidR="00000000" w:rsidRPr="00000000">
        <w:rPr>
          <w:rtl w:val="0"/>
        </w:rPr>
        <w:t xml:space="preserve">Анықтама</w:t>
      </w:r>
    </w:p>
    <w:p w:rsidR="00000000" w:rsidDel="00000000" w:rsidP="00000000" w:rsidRDefault="00000000" w:rsidRPr="00000000" w14:paraId="00000003">
      <w:pPr>
        <w:jc w:val="center"/>
        <w:rPr>
          <w:sz w:val="20"/>
          <w:szCs w:val="20"/>
        </w:rPr>
      </w:pPr>
      <w:r w:rsidDel="00000000" w:rsidR="00000000" w:rsidRPr="00000000">
        <w:rPr>
          <w:rtl w:val="0"/>
        </w:rPr>
      </w:r>
    </w:p>
    <w:tbl>
      <w:tblPr>
        <w:tblStyle w:val="Table1"/>
        <w:tblpPr w:leftFromText="180" w:rightFromText="180" w:topFromText="0" w:bottomFromText="0" w:vertAnchor="text" w:horzAnchor="text" w:tblpX="0" w:tblpY="1"/>
        <w:tblW w:w="1020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4536"/>
        <w:gridCol w:w="5244"/>
        <w:tblGridChange w:id="0">
          <w:tblGrid>
            <w:gridCol w:w="421"/>
            <w:gridCol w:w="4536"/>
            <w:gridCol w:w="5244"/>
          </w:tblGrid>
        </w:tblGridChange>
      </w:tblGrid>
      <w:tr>
        <w:trPr>
          <w:cantSplit w:val="0"/>
          <w:trHeight w:val="418" w:hRule="atLeast"/>
          <w:tblHeader w:val="0"/>
        </w:trPr>
        <w:tc>
          <w:tcPr>
            <w:shd w:fill="auto" w:val="clear"/>
          </w:tcPr>
          <w:p w:rsidR="00000000" w:rsidDel="00000000" w:rsidP="00000000" w:rsidRDefault="00000000" w:rsidRPr="00000000" w14:paraId="00000004">
            <w:pPr>
              <w:rPr>
                <w:sz w:val="20"/>
                <w:szCs w:val="20"/>
              </w:rPr>
            </w:pPr>
            <w:r w:rsidDel="00000000" w:rsidR="00000000" w:rsidRPr="00000000">
              <w:rPr>
                <w:sz w:val="20"/>
                <w:szCs w:val="20"/>
                <w:rtl w:val="0"/>
              </w:rPr>
              <w:t xml:space="preserve">1</w:t>
            </w:r>
          </w:p>
        </w:tc>
        <w:tc>
          <w:tcPr>
            <w:shd w:fill="auto" w:val="clear"/>
            <w:vAlign w:val="center"/>
          </w:tcPr>
          <w:p w:rsidR="00000000" w:rsidDel="00000000" w:rsidP="00000000" w:rsidRDefault="00000000" w:rsidRPr="00000000" w14:paraId="00000005">
            <w:pPr>
              <w:rPr>
                <w:sz w:val="20"/>
                <w:szCs w:val="20"/>
              </w:rPr>
            </w:pPr>
            <w:r w:rsidDel="00000000" w:rsidR="00000000" w:rsidRPr="00000000">
              <w:rPr>
                <w:sz w:val="20"/>
                <w:szCs w:val="20"/>
                <w:rtl w:val="0"/>
              </w:rPr>
              <w:t xml:space="preserve">Тегі, аты, әкесінің аты (болған жағдайда)</w:t>
            </w:r>
          </w:p>
        </w:tc>
        <w:tc>
          <w:tcPr>
            <w:shd w:fill="auto" w:val="clear"/>
          </w:tcPr>
          <w:p w:rsidR="00000000" w:rsidDel="00000000" w:rsidP="00000000" w:rsidRDefault="00000000" w:rsidRPr="00000000" w14:paraId="00000006">
            <w:pPr>
              <w:rPr>
                <w:sz w:val="20"/>
                <w:szCs w:val="20"/>
              </w:rPr>
            </w:pPr>
            <w:r w:rsidDel="00000000" w:rsidR="00000000" w:rsidRPr="00000000">
              <w:rPr>
                <w:sz w:val="20"/>
                <w:szCs w:val="20"/>
                <w:rtl w:val="0"/>
              </w:rPr>
              <w:t xml:space="preserve">Сатмбекова Динара Канатовна</w:t>
            </w:r>
          </w:p>
        </w:tc>
      </w:tr>
      <w:tr>
        <w:trPr>
          <w:cantSplit w:val="0"/>
          <w:tblHeader w:val="0"/>
        </w:trPr>
        <w:tc>
          <w:tcPr>
            <w:shd w:fill="auto" w:val="clear"/>
          </w:tcPr>
          <w:p w:rsidR="00000000" w:rsidDel="00000000" w:rsidP="00000000" w:rsidRDefault="00000000" w:rsidRPr="00000000" w14:paraId="00000007">
            <w:pPr>
              <w:rPr>
                <w:sz w:val="20"/>
                <w:szCs w:val="20"/>
              </w:rPr>
            </w:pPr>
            <w:r w:rsidDel="00000000" w:rsidR="00000000" w:rsidRPr="00000000">
              <w:rPr>
                <w:sz w:val="20"/>
                <w:szCs w:val="20"/>
                <w:rtl w:val="0"/>
              </w:rPr>
              <w:t xml:space="preserve">2</w:t>
            </w:r>
          </w:p>
        </w:tc>
        <w:tc>
          <w:tcPr>
            <w:shd w:fill="auto" w:val="clear"/>
          </w:tcPr>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shd w:fill="auto" w:val="clear"/>
          </w:tcPr>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6D110400 – «Фармация» мамандығы бойынша философия докторы (PhD) 19.03.2019 Бұйрық №255 </w:t>
            </w:r>
          </w:p>
        </w:tc>
      </w:tr>
      <w:tr>
        <w:trPr>
          <w:cantSplit w:val="0"/>
          <w:tblHeader w:val="0"/>
        </w:trPr>
        <w:tc>
          <w:tcPr>
            <w:shd w:fill="auto" w:val="clear"/>
          </w:tcPr>
          <w:p w:rsidR="00000000" w:rsidDel="00000000" w:rsidP="00000000" w:rsidRDefault="00000000" w:rsidRPr="00000000" w14:paraId="0000000A">
            <w:pPr>
              <w:rPr>
                <w:sz w:val="20"/>
                <w:szCs w:val="20"/>
              </w:rPr>
            </w:pPr>
            <w:r w:rsidDel="00000000" w:rsidR="00000000" w:rsidRPr="00000000">
              <w:rPr>
                <w:sz w:val="20"/>
                <w:szCs w:val="20"/>
                <w:rtl w:val="0"/>
              </w:rPr>
              <w:t xml:space="preserve">3</w:t>
            </w:r>
          </w:p>
        </w:tc>
        <w:tc>
          <w:tcPr>
            <w:shd w:fill="auto" w:val="clear"/>
          </w:tcPr>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Ғылыми атақ, берілген уақыты</w:t>
            </w:r>
          </w:p>
        </w:tc>
        <w:tc>
          <w:tcPr>
            <w:shd w:fill="auto" w:val="clear"/>
          </w:tcPr>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w:t>
            </w:r>
          </w:p>
        </w:tc>
      </w:tr>
      <w:tr>
        <w:trPr>
          <w:cantSplit w:val="0"/>
          <w:tblHeader w:val="0"/>
        </w:trPr>
        <w:tc>
          <w:tcPr>
            <w:shd w:fill="auto" w:val="clear"/>
          </w:tcPr>
          <w:p w:rsidR="00000000" w:rsidDel="00000000" w:rsidP="00000000" w:rsidRDefault="00000000" w:rsidRPr="00000000" w14:paraId="0000000D">
            <w:pPr>
              <w:rPr>
                <w:sz w:val="20"/>
                <w:szCs w:val="20"/>
              </w:rPr>
            </w:pPr>
            <w:r w:rsidDel="00000000" w:rsidR="00000000" w:rsidRPr="00000000">
              <w:rPr>
                <w:sz w:val="20"/>
                <w:szCs w:val="20"/>
                <w:rtl w:val="0"/>
              </w:rPr>
              <w:t xml:space="preserve">4</w:t>
            </w:r>
          </w:p>
        </w:tc>
        <w:tc>
          <w:tcPr>
            <w:shd w:fill="auto" w:val="clear"/>
          </w:tcPr>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Құрметті атақ, берілген уақыты</w:t>
            </w:r>
          </w:p>
        </w:tc>
        <w:tc>
          <w:tcPr>
            <w:shd w:fill="auto" w:val="clear"/>
          </w:tcPr>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w:t>
            </w:r>
          </w:p>
        </w:tc>
      </w:tr>
      <w:tr>
        <w:trPr>
          <w:cantSplit w:val="0"/>
          <w:tblHeader w:val="0"/>
        </w:trPr>
        <w:tc>
          <w:tcPr>
            <w:shd w:fill="auto" w:val="clear"/>
          </w:tcPr>
          <w:p w:rsidR="00000000" w:rsidDel="00000000" w:rsidP="00000000" w:rsidRDefault="00000000" w:rsidRPr="00000000" w14:paraId="00000010">
            <w:pPr>
              <w:rPr>
                <w:sz w:val="20"/>
                <w:szCs w:val="20"/>
              </w:rPr>
            </w:pPr>
            <w:r w:rsidDel="00000000" w:rsidR="00000000" w:rsidRPr="00000000">
              <w:rPr>
                <w:sz w:val="20"/>
                <w:szCs w:val="20"/>
                <w:rtl w:val="0"/>
              </w:rPr>
              <w:t xml:space="preserve">5</w:t>
            </w:r>
          </w:p>
        </w:tc>
        <w:tc>
          <w:tcPr>
            <w:shd w:fill="auto" w:val="clear"/>
          </w:tcPr>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Лауазымы (лауазымға тағайындалу туралы бұйрық мерзімі және нөмірі)</w:t>
            </w:r>
          </w:p>
        </w:tc>
        <w:tc>
          <w:tcPr>
            <w:shd w:fill="auto" w:val="clear"/>
          </w:tcPr>
          <w:p w:rsidR="00000000" w:rsidDel="00000000" w:rsidP="00000000" w:rsidRDefault="00000000" w:rsidRPr="00000000" w14:paraId="00000012">
            <w:pPr>
              <w:jc w:val="both"/>
              <w:rPr>
                <w:sz w:val="20"/>
                <w:szCs w:val="20"/>
              </w:rPr>
            </w:pPr>
            <w:bookmarkStart w:colFirst="0" w:colLast="0" w:name="_heading=h.ikwrh9apa60m" w:id="0"/>
            <w:bookmarkEnd w:id="0"/>
            <w:r w:rsidDel="00000000" w:rsidR="00000000" w:rsidRPr="00000000">
              <w:rPr>
                <w:sz w:val="20"/>
                <w:szCs w:val="20"/>
                <w:rtl w:val="0"/>
              </w:rPr>
              <w:t xml:space="preserve">Іргелі медицина кафедрасының доцент м.а.,  Бұйрық №584 03.02.2020. ж. (2020- 2023 жылдар) </w:t>
            </w:r>
          </w:p>
        </w:tc>
      </w:tr>
      <w:tr>
        <w:trPr>
          <w:cantSplit w:val="0"/>
          <w:tblHeader w:val="0"/>
        </w:trPr>
        <w:tc>
          <w:tcPr>
            <w:shd w:fill="auto" w:val="clear"/>
          </w:tcPr>
          <w:p w:rsidR="00000000" w:rsidDel="00000000" w:rsidP="00000000" w:rsidRDefault="00000000" w:rsidRPr="00000000" w14:paraId="00000013">
            <w:pPr>
              <w:rPr>
                <w:sz w:val="20"/>
                <w:szCs w:val="20"/>
              </w:rPr>
            </w:pPr>
            <w:r w:rsidDel="00000000" w:rsidR="00000000" w:rsidRPr="00000000">
              <w:rPr>
                <w:sz w:val="20"/>
                <w:szCs w:val="20"/>
                <w:rtl w:val="0"/>
              </w:rPr>
              <w:t xml:space="preserve">6</w:t>
            </w:r>
          </w:p>
        </w:tc>
        <w:tc>
          <w:tcPr>
            <w:shd w:fill="auto" w:val="clear"/>
          </w:tcPr>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Ғылыми, ғылыми-педагогикалық жұмыс өтілі</w:t>
            </w:r>
          </w:p>
        </w:tc>
        <w:tc>
          <w:tcPr>
            <w:shd w:fill="auto" w:val="clear"/>
          </w:tcPr>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Барлығы 16 жыл, оның ішінде доцент м.а. лауазымда 3 жыл.  </w:t>
            </w:r>
          </w:p>
        </w:tc>
      </w:tr>
      <w:tr>
        <w:trPr>
          <w:cantSplit w:val="0"/>
          <w:tblHeader w:val="0"/>
        </w:trPr>
        <w:tc>
          <w:tcPr>
            <w:shd w:fill="auto" w:val="clear"/>
          </w:tcPr>
          <w:p w:rsidR="00000000" w:rsidDel="00000000" w:rsidP="00000000" w:rsidRDefault="00000000" w:rsidRPr="00000000" w14:paraId="00000016">
            <w:pPr>
              <w:rPr>
                <w:sz w:val="20"/>
                <w:szCs w:val="20"/>
              </w:rPr>
            </w:pPr>
            <w:r w:rsidDel="00000000" w:rsidR="00000000" w:rsidRPr="00000000">
              <w:rPr>
                <w:sz w:val="20"/>
                <w:szCs w:val="20"/>
                <w:rtl w:val="0"/>
              </w:rPr>
              <w:t xml:space="preserve">7</w:t>
            </w:r>
          </w:p>
        </w:tc>
        <w:tc>
          <w:tcPr>
            <w:shd w:fill="auto" w:val="clear"/>
          </w:tcPr>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Диссертация қорғағаннан/қауымдастырылған профессор (доцент) ғылыми атағын алғаннан кейінгі ғылыми мақалалар, шығармашылық еңбектер саны</w:t>
            </w:r>
          </w:p>
        </w:tc>
        <w:tc>
          <w:tcPr>
            <w:shd w:fill="auto" w:val="clear"/>
          </w:tcPr>
          <w:p w:rsidR="00000000" w:rsidDel="00000000" w:rsidP="00000000" w:rsidRDefault="00000000" w:rsidRPr="00000000" w14:paraId="00000018">
            <w:pPr>
              <w:jc w:val="both"/>
              <w:rPr>
                <w:sz w:val="20"/>
                <w:szCs w:val="20"/>
              </w:rPr>
            </w:pPr>
            <w:bookmarkStart w:colFirst="0" w:colLast="0" w:name="_heading=h.30j0zll" w:id="1"/>
            <w:bookmarkEnd w:id="1"/>
            <w:r w:rsidDel="00000000" w:rsidR="00000000" w:rsidRPr="00000000">
              <w:rPr>
                <w:sz w:val="20"/>
                <w:szCs w:val="20"/>
                <w:rtl w:val="0"/>
              </w:rPr>
              <w:t xml:space="preserve">Барлығы 22, уәкілетті орган ұсынатын басылымдарда 7, Clarivate Analytics (Кларивэйт Аналитикс) (Web of Science Core Collection, Clarivate Analytics (Вэб оф Сайнс Кор Коллекшн, Кларивэйт Аналитикс)), Scopus (Скопус) немесе JSTOR (ДЖЕЙСТОР) базаларындағы ғылыми журналдарда 7, б</w:t>
            </w:r>
            <w:r w:rsidDel="00000000" w:rsidR="00000000" w:rsidRPr="00000000">
              <w:rPr>
                <w:sz w:val="20"/>
                <w:szCs w:val="20"/>
                <w:rtl w:val="0"/>
              </w:rPr>
              <w:t xml:space="preserve">асқада мерзімді басылымдарда жарияланған мақалалар саны - 3, монографиялар - 2, әдістемелік нұсқаулық - 1 және пайдалы модельдер саны - 2.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9">
            <w:pPr>
              <w:rPr>
                <w:sz w:val="20"/>
                <w:szCs w:val="20"/>
              </w:rPr>
            </w:pPr>
            <w:r w:rsidDel="00000000" w:rsidR="00000000" w:rsidRPr="00000000">
              <w:rPr>
                <w:sz w:val="20"/>
                <w:szCs w:val="20"/>
                <w:rtl w:val="0"/>
              </w:rPr>
              <w:t xml:space="preserve">8</w:t>
            </w:r>
          </w:p>
        </w:tc>
        <w:tc>
          <w:tcPr>
            <w:shd w:fill="auto" w:val="clear"/>
          </w:tcPr>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Соңғы 5 жылда басылған монографиялар, оқулықтар, жеке жазылған оқу (оқу-әдістемелік) құралдар саны</w:t>
            </w:r>
          </w:p>
        </w:tc>
        <w:tc>
          <w:tcPr>
            <w:shd w:fill="auto" w:val="clear"/>
          </w:tcPr>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1. Монография «Разработка лекарственной формы на основе субстанции природного источника» Алматы: Қазақ университеті, 2025. -110 б.  </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2.</w:t>
            </w:r>
            <w:r w:rsidDel="00000000" w:rsidR="00000000" w:rsidRPr="00000000">
              <w:rPr>
                <w:color w:val="000000"/>
                <w:sz w:val="20"/>
                <w:szCs w:val="20"/>
                <w:highlight w:val="white"/>
                <w:rtl w:val="0"/>
              </w:rPr>
              <w:t xml:space="preserve"> Монография </w:t>
            </w:r>
            <w:r w:rsidDel="00000000" w:rsidR="00000000" w:rsidRPr="00000000">
              <w:rPr>
                <w:sz w:val="20"/>
                <w:szCs w:val="20"/>
                <w:rtl w:val="0"/>
              </w:rPr>
              <w:t xml:space="preserve">«</w:t>
            </w:r>
            <w:r w:rsidDel="00000000" w:rsidR="00000000" w:rsidRPr="00000000">
              <w:rPr>
                <w:color w:val="000000"/>
                <w:sz w:val="20"/>
                <w:szCs w:val="20"/>
                <w:highlight w:val="white"/>
                <w:rtl w:val="0"/>
              </w:rPr>
              <w:t xml:space="preserve">Фармацевтическая разработка фитосубстанции из корня Цикория обыкновенного </w:t>
            </w:r>
            <w:r w:rsidDel="00000000" w:rsidR="00000000" w:rsidRPr="00000000">
              <w:rPr>
                <w:i w:val="1"/>
                <w:color w:val="000000"/>
                <w:sz w:val="20"/>
                <w:szCs w:val="20"/>
                <w:highlight w:val="white"/>
                <w:rtl w:val="0"/>
              </w:rPr>
              <w:t xml:space="preserve">(Cichorium Intybus L.)</w:t>
            </w:r>
            <w:r w:rsidDel="00000000" w:rsidR="00000000" w:rsidRPr="00000000">
              <w:rPr>
                <w:b w:val="1"/>
                <w:color w:val="000000"/>
                <w:sz w:val="20"/>
                <w:szCs w:val="20"/>
                <w:highlight w:val="white"/>
                <w:rtl w:val="0"/>
              </w:rPr>
              <w:t xml:space="preserve"> </w:t>
            </w:r>
            <w:r w:rsidDel="00000000" w:rsidR="00000000" w:rsidRPr="00000000">
              <w:rPr>
                <w:color w:val="000000"/>
                <w:sz w:val="20"/>
                <w:szCs w:val="20"/>
                <w:highlight w:val="white"/>
                <w:rtl w:val="0"/>
              </w:rPr>
              <w:t xml:space="preserve">(монография)</w:t>
            </w:r>
            <w:r w:rsidDel="00000000" w:rsidR="00000000" w:rsidRPr="00000000">
              <w:rPr>
                <w:sz w:val="20"/>
                <w:szCs w:val="20"/>
                <w:rtl w:val="0"/>
              </w:rPr>
              <w:t xml:space="preserve">»  Алматы: Қазақ университеті, 2021. -146 б.  </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3. Әд</w:t>
            </w:r>
            <w:r w:rsidDel="00000000" w:rsidR="00000000" w:rsidRPr="00000000">
              <w:rPr>
                <w:color w:val="000000"/>
                <w:sz w:val="20"/>
                <w:szCs w:val="20"/>
                <w:rtl w:val="0"/>
              </w:rPr>
              <w:t xml:space="preserve">істемелік құрал </w:t>
            </w:r>
            <w:r w:rsidDel="00000000" w:rsidR="00000000" w:rsidRPr="00000000">
              <w:rPr>
                <w:sz w:val="20"/>
                <w:szCs w:val="20"/>
                <w:rtl w:val="0"/>
              </w:rPr>
              <w:t xml:space="preserve">«</w:t>
            </w:r>
            <w:r w:rsidDel="00000000" w:rsidR="00000000" w:rsidRPr="00000000">
              <w:rPr>
                <w:color w:val="000000"/>
                <w:sz w:val="20"/>
                <w:szCs w:val="20"/>
                <w:rtl w:val="0"/>
              </w:rPr>
              <w:t xml:space="preserve">Оценка использования лекарственных средств в организациях здравоохранения: Методические рекомендации</w:t>
            </w:r>
            <w:r w:rsidDel="00000000" w:rsidR="00000000" w:rsidRPr="00000000">
              <w:rPr>
                <w:sz w:val="20"/>
                <w:szCs w:val="20"/>
                <w:rtl w:val="0"/>
              </w:rPr>
              <w:t xml:space="preserve">» </w:t>
            </w:r>
            <w:r w:rsidDel="00000000" w:rsidR="00000000" w:rsidRPr="00000000">
              <w:rPr>
                <w:color w:val="000000"/>
                <w:sz w:val="20"/>
                <w:szCs w:val="20"/>
                <w:rtl w:val="0"/>
              </w:rPr>
              <w:t xml:space="preserve">Нур-Султан: РГП на ПХВ «</w:t>
            </w:r>
            <w:hyperlink r:id="rId7">
              <w:r w:rsidDel="00000000" w:rsidR="00000000" w:rsidRPr="00000000">
                <w:rPr>
                  <w:color w:val="0000ff"/>
                  <w:sz w:val="20"/>
                  <w:szCs w:val="20"/>
                  <w:u w:val="single"/>
                  <w:rtl w:val="0"/>
                </w:rPr>
                <w:t xml:space="preserve">Республиканский центр развития здравоохранения</w:t>
              </w:r>
            </w:hyperlink>
            <w:r w:rsidDel="00000000" w:rsidR="00000000" w:rsidRPr="00000000">
              <w:rPr>
                <w:color w:val="000000"/>
                <w:sz w:val="20"/>
                <w:szCs w:val="20"/>
                <w:rtl w:val="0"/>
              </w:rPr>
              <w:t xml:space="preserve">» МЗ РК, 2019. – 82 б.</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rPr>
                <w:sz w:val="20"/>
                <w:szCs w:val="20"/>
              </w:rPr>
            </w:pPr>
            <w:r w:rsidDel="00000000" w:rsidR="00000000" w:rsidRPr="00000000">
              <w:rPr>
                <w:sz w:val="20"/>
                <w:szCs w:val="20"/>
                <w:rtl w:val="0"/>
              </w:rPr>
              <w:t xml:space="preserve">9</w:t>
            </w:r>
          </w:p>
        </w:tc>
        <w:tc>
          <w:tcPr>
            <w:shd w:fill="auto" w:val="clear"/>
          </w:tcPr>
          <w:p w:rsidR="00000000" w:rsidDel="00000000" w:rsidP="00000000" w:rsidRDefault="00000000" w:rsidRPr="00000000" w14:paraId="0000001F">
            <w:pPr>
              <w:tabs>
                <w:tab w:val="left" w:leader="none" w:pos="480"/>
              </w:tabs>
              <w:jc w:val="both"/>
              <w:rPr>
                <w:sz w:val="20"/>
                <w:szCs w:val="20"/>
              </w:rPr>
            </w:pPr>
            <w:r w:rsidDel="00000000" w:rsidR="00000000" w:rsidRPr="00000000">
              <w:rPr>
                <w:sz w:val="20"/>
                <w:szCs w:val="20"/>
                <w:rtl w:val="0"/>
              </w:rPr>
              <w:t xml:space="preserve">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shd w:fill="auto" w:val="clear"/>
          </w:tcPr>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Жоқ</w:t>
            </w:r>
          </w:p>
        </w:tc>
      </w:tr>
      <w:tr>
        <w:trPr>
          <w:cantSplit w:val="0"/>
          <w:tblHeader w:val="0"/>
        </w:trPr>
        <w:tc>
          <w:tcPr>
            <w:shd w:fill="auto" w:val="clear"/>
          </w:tcPr>
          <w:p w:rsidR="00000000" w:rsidDel="00000000" w:rsidP="00000000" w:rsidRDefault="00000000" w:rsidRPr="00000000" w14:paraId="00000021">
            <w:pPr>
              <w:rPr>
                <w:sz w:val="20"/>
                <w:szCs w:val="20"/>
              </w:rPr>
            </w:pPr>
            <w:r w:rsidDel="00000000" w:rsidR="00000000" w:rsidRPr="00000000">
              <w:rPr>
                <w:sz w:val="20"/>
                <w:szCs w:val="20"/>
                <w:rtl w:val="0"/>
              </w:rPr>
              <w:t xml:space="preserve">10</w:t>
            </w:r>
          </w:p>
        </w:tc>
        <w:tc>
          <w:tcPr>
            <w:shd w:fill="auto" w:val="clear"/>
          </w:tcPr>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shd w:fill="auto" w:val="clear"/>
          </w:tcPr>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1. Балтабай Бекболат-</w:t>
            </w:r>
            <w:r w:rsidDel="00000000" w:rsidR="00000000" w:rsidRPr="00000000">
              <w:rPr>
                <w:rtl w:val="0"/>
              </w:rPr>
              <w:t xml:space="preserve"> </w:t>
            </w:r>
            <w:r w:rsidDel="00000000" w:rsidR="00000000" w:rsidRPr="00000000">
              <w:rPr>
                <w:sz w:val="20"/>
                <w:szCs w:val="20"/>
                <w:rtl w:val="0"/>
              </w:rPr>
              <w:t xml:space="preserve">Медицина және денсаулық сақтау факультетінің 2022 жылғы Қазақстан Республикасы Президентінің стипендиясының иегері.</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2. Балтабай Бекболат-</w:t>
            </w:r>
            <w:r w:rsidDel="00000000" w:rsidR="00000000" w:rsidRPr="00000000">
              <w:rPr>
                <w:rtl w:val="0"/>
              </w:rPr>
              <w:t xml:space="preserve"> </w:t>
            </w:r>
            <w:r w:rsidDel="00000000" w:rsidR="00000000" w:rsidRPr="00000000">
              <w:rPr>
                <w:sz w:val="20"/>
                <w:szCs w:val="20"/>
                <w:rtl w:val="0"/>
              </w:rPr>
              <w:t xml:space="preserve">Тәуелсіз Мемлекеттер Достастығы елдерінің ғылыми және оқу орындары арасындағы «VI Халықаралық кітап басылымы», «Үздік жас ғалымдар-2022» 2-дәрежелі диплом, Нұр-Сұлтан, Қазақстан, 2022 ж.</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3. Қабдылқанова Эльмира- Астана медицина университетінің фармацевтика факультетінің «Алматы қалалық емханасының дәрі-дәрмекпен қамтамасыз етудің ABC/VEN талдауының нәтижелері» тақырыбындағы II Халықаралық ғылыми-тәжірибелік конференциясында 3 орын.</w:t>
            </w:r>
          </w:p>
          <w:p w:rsidR="00000000" w:rsidDel="00000000" w:rsidP="00000000" w:rsidRDefault="00000000" w:rsidRPr="00000000" w14:paraId="00000026">
            <w:pPr>
              <w:tabs>
                <w:tab w:val="left" w:leader="none" w:pos="199"/>
                <w:tab w:val="left" w:leader="none" w:pos="377"/>
              </w:tabs>
              <w:jc w:val="both"/>
              <w:rPr>
                <w:sz w:val="20"/>
                <w:szCs w:val="20"/>
              </w:rPr>
            </w:pPr>
            <w:r w:rsidDel="00000000" w:rsidR="00000000" w:rsidRPr="00000000">
              <w:rPr>
                <w:sz w:val="20"/>
                <w:szCs w:val="20"/>
                <w:rtl w:val="0"/>
              </w:rPr>
              <w:t xml:space="preserve">4. Шаймерден Аружан - «Тәжірибеден жобаға» атты III халықаралық студенттер мен жас ғалымдар конференциясында «3D басып шығарылатын рецептуралық дәріхана жобасы»тақырыбында 1 орын.</w:t>
            </w:r>
          </w:p>
        </w:tc>
      </w:tr>
      <w:tr>
        <w:trPr>
          <w:cantSplit w:val="0"/>
          <w:tblHeader w:val="0"/>
        </w:trPr>
        <w:tc>
          <w:tcPr>
            <w:shd w:fill="auto" w:val="clear"/>
          </w:tcPr>
          <w:p w:rsidR="00000000" w:rsidDel="00000000" w:rsidP="00000000" w:rsidRDefault="00000000" w:rsidRPr="00000000" w14:paraId="00000027">
            <w:pPr>
              <w:rPr>
                <w:sz w:val="20"/>
                <w:szCs w:val="20"/>
              </w:rPr>
            </w:pPr>
            <w:r w:rsidDel="00000000" w:rsidR="00000000" w:rsidRPr="00000000">
              <w:rPr>
                <w:sz w:val="20"/>
                <w:szCs w:val="20"/>
                <w:rtl w:val="0"/>
              </w:rPr>
              <w:t xml:space="preserve">11</w:t>
            </w:r>
          </w:p>
        </w:tc>
        <w:tc>
          <w:tcPr>
            <w:shd w:fill="auto" w:val="clear"/>
          </w:tcPr>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shd w:fill="auto" w:val="clear"/>
          </w:tcPr>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Жоқ</w:t>
            </w:r>
          </w:p>
        </w:tc>
      </w:tr>
      <w:tr>
        <w:trPr>
          <w:cantSplit w:val="0"/>
          <w:tblHeader w:val="0"/>
        </w:trPr>
        <w:tc>
          <w:tcPr>
            <w:vMerge w:val="restart"/>
            <w:shd w:fill="auto" w:val="clear"/>
          </w:tcPr>
          <w:p w:rsidR="00000000" w:rsidDel="00000000" w:rsidP="00000000" w:rsidRDefault="00000000" w:rsidRPr="00000000" w14:paraId="0000002A">
            <w:pPr>
              <w:rPr>
                <w:sz w:val="20"/>
                <w:szCs w:val="20"/>
              </w:rPr>
            </w:pPr>
            <w:r w:rsidDel="00000000" w:rsidR="00000000" w:rsidRPr="00000000">
              <w:rPr>
                <w:sz w:val="20"/>
                <w:szCs w:val="20"/>
                <w:rtl w:val="0"/>
              </w:rPr>
              <w:t xml:space="preserve">12</w:t>
            </w:r>
          </w:p>
        </w:tc>
        <w:tc>
          <w:tcPr>
            <w:vMerge w:val="restart"/>
            <w:shd w:fill="auto" w:val="clear"/>
          </w:tcPr>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Қосымша ақпарат</w:t>
            </w:r>
          </w:p>
        </w:tc>
        <w:tc>
          <w:tcPr>
            <w:shd w:fill="auto" w:val="clear"/>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34"/>
              </w:tabs>
              <w:spacing w:after="0" w:before="0" w:line="240" w:lineRule="auto"/>
              <w:ind w:left="5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Миссисипи университетінің ғылыми-зерттеу гранты аясында жұмыс істедім. Жоба барысында 7 жеке компонент бөлініп, сәйкестендірілді. Олардың бірі — жаңа қосылыс, ИЮПАК номенклатурасына сәйкес оған 28β-гидрокситараксастерол атауы берілді. Тағы екі компонент — уснинов қышқылы және диолеилглицерид — бұрыннан белгілі, бірақ зерттеліп отырған нысаннан алғаш рет бөлініп алынды. Қалған төрт компонент те бұрыннан белгілі және олар осы нысаннан шетелдік әріптестер тарапынан бұрын бөлініп алынған.</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34"/>
              </w:tabs>
              <w:spacing w:after="0" w:before="0" w:line="240" w:lineRule="auto"/>
              <w:ind w:left="5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Ұлыбританиядағы Рединг университетінде  жаңа компоненттердің антимикробтық қасиеттерін зерттеу бойынша Протокол әзірледім және Pevitac коммерцияландыру орталығынан қолдау алдым.</w:t>
            </w:r>
          </w:p>
          <w:p w:rsidR="00000000" w:rsidDel="00000000" w:rsidP="00000000" w:rsidRDefault="00000000" w:rsidRPr="00000000" w14:paraId="0000002E">
            <w:pPr>
              <w:tabs>
                <w:tab w:val="left" w:leader="none" w:pos="234"/>
              </w:tabs>
              <w:ind w:left="57" w:firstLine="0"/>
              <w:jc w:val="both"/>
              <w:rPr>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031">
            <w:pPr>
              <w:tabs>
                <w:tab w:val="left" w:leader="none" w:pos="234"/>
              </w:tabs>
              <w:jc w:val="both"/>
              <w:rPr>
                <w:sz w:val="20"/>
                <w:szCs w:val="20"/>
              </w:rPr>
            </w:pPr>
            <w:r w:rsidDel="00000000" w:rsidR="00000000" w:rsidRPr="00000000">
              <w:rPr>
                <w:sz w:val="20"/>
                <w:szCs w:val="20"/>
                <w:rtl w:val="0"/>
              </w:rPr>
              <w:t xml:space="preserve">2019 жылғы жас ғалымдарға арналған Мемлекеттік стипендия иегері.</w:t>
            </w:r>
          </w:p>
        </w:tc>
      </w:tr>
      <w:tr>
        <w:trPr>
          <w:cantSplit w:val="0"/>
          <w:tblHeader w:val="0"/>
        </w:trPr>
        <w:tc>
          <w:tcPr>
            <w:vMerge w:val="continue"/>
            <w:shd w:fill="auto"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034">
            <w:pPr>
              <w:tabs>
                <w:tab w:val="left" w:leader="none" w:pos="234"/>
              </w:tabs>
              <w:jc w:val="both"/>
              <w:rPr>
                <w:sz w:val="20"/>
                <w:szCs w:val="20"/>
              </w:rPr>
            </w:pPr>
            <w:r w:rsidDel="00000000" w:rsidR="00000000" w:rsidRPr="00000000">
              <w:rPr>
                <w:sz w:val="20"/>
                <w:szCs w:val="20"/>
                <w:rtl w:val="0"/>
              </w:rPr>
              <w:t xml:space="preserve">Пайдалы модельге 2 патент алынды</w:t>
            </w:r>
          </w:p>
        </w:tc>
      </w:tr>
      <w:tr>
        <w:trPr>
          <w:cantSplit w:val="0"/>
          <w:tblHeader w:val="0"/>
        </w:trPr>
        <w:tc>
          <w:tcPr>
            <w:vMerge w:val="continue"/>
            <w:shd w:fill="auto"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037">
            <w:pPr>
              <w:tabs>
                <w:tab w:val="left" w:leader="none" w:pos="234"/>
              </w:tabs>
              <w:jc w:val="both"/>
              <w:rPr>
                <w:sz w:val="20"/>
                <w:szCs w:val="20"/>
              </w:rPr>
            </w:pPr>
            <w:r w:rsidDel="00000000" w:rsidR="00000000" w:rsidRPr="00000000">
              <w:rPr>
                <w:sz w:val="20"/>
                <w:szCs w:val="20"/>
                <w:rtl w:val="0"/>
              </w:rPr>
              <w:t xml:space="preserve">«Фармация» мамандығы бойынша 9 магистр дайындады, оның ішінде Иракта жұмыс істейтін 2 шетелдік студент.</w:t>
            </w:r>
          </w:p>
        </w:tc>
      </w:tr>
    </w:tbl>
    <w:p w:rsidR="00000000" w:rsidDel="00000000" w:rsidP="00000000" w:rsidRDefault="00000000" w:rsidRPr="00000000" w14:paraId="00000038">
      <w:pPr>
        <w:jc w:val="both"/>
        <w:rPr/>
      </w:pPr>
      <w:r w:rsidDel="00000000" w:rsidR="00000000" w:rsidRPr="00000000">
        <w:rPr>
          <w:rtl w:val="0"/>
        </w:rPr>
        <w:t xml:space="preserve">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ind w:left="567" w:hanging="567"/>
        <w:rPr>
          <w:b w:val="1"/>
        </w:rPr>
      </w:pPr>
      <w:r w:rsidDel="00000000" w:rsidR="00000000" w:rsidRPr="00000000">
        <w:rPr>
          <w:b w:val="1"/>
          <w:rtl w:val="0"/>
        </w:rPr>
        <w:t xml:space="preserve">Іргелі медицина кафедрасының меңгерушісі                                                  </w:t>
        <w:tab/>
        <w:t xml:space="preserve">А.М. Сейталиева</w:t>
      </w:r>
    </w:p>
    <w:sectPr>
      <w:pgSz w:h="16838" w:w="11906" w:orient="portrait"/>
      <w:pgMar w:bottom="851" w:top="851"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56B30"/>
    <w:pPr>
      <w:suppressAutoHyphens w:val="1"/>
      <w:spacing w:after="0" w:line="240" w:lineRule="auto"/>
    </w:pPr>
    <w:rPr>
      <w:rFonts w:ascii="Times New Roman" w:cs="Times New Roman" w:eastAsia="Times New Roman" w:hAnsi="Times New Roman"/>
      <w:sz w:val="24"/>
      <w:szCs w:val="24"/>
      <w:lang w:eastAsia="ar-S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856B30"/>
    <w:pPr>
      <w:ind w:left="720"/>
      <w:contextualSpacing w:val="1"/>
    </w:pPr>
  </w:style>
  <w:style w:type="character" w:styleId="s1" w:customStyle="1">
    <w:name w:val="s1"/>
    <w:rsid w:val="00876203"/>
    <w:rPr>
      <w:rFonts w:ascii="Times New Roman" w:cs="Times New Roman" w:hAnsi="Times New Roman" w:hint="default"/>
      <w:b w:val="1"/>
      <w:bCs w:val="1"/>
      <w:color w:val="000000"/>
    </w:rPr>
  </w:style>
  <w:style w:type="character" w:styleId="a4">
    <w:name w:val="Hyperlink"/>
    <w:basedOn w:val="a0"/>
    <w:uiPriority w:val="99"/>
    <w:semiHidden w:val="1"/>
    <w:unhideWhenUsed w:val="1"/>
    <w:rsid w:val="00A1650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rchd.kz/files/%D0%94%D0%BE%D0%BA%D1%83%D0%BC%D0%B5%D0%BD%D1%82%D1%8B/%D0%9C%D0%B5%D1%82%D0%BE%D0%B4%D0%B8%D1%87%D0%BA%D0%B0%20%D0%9E%D1%86%D0%B5%D0%BD%D0%BA%D0%B0%20%D0%B8%D1%81%D0%BF%D0%BE%D0%BB%D1%8C%D0%B7%D0%BE%D0%B2%D0%B0%D0%BD%D0%B8%D1%8F%20%D0%9B%D0%A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n4K2KWZU8r0G6/+M7TecJdnPSQ==">CgMxLjAyDmguaWt3cmg5YXBhNjBtMgloLjMwajB6bGw4AHIhMXFpZHpZNTVaNTZxb0JwWmxubENUdER1cTQydVV0M2VB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2025-04-09T18:55:00Z</dcterms:created>
  <dc:creator>User</dc:creator>
</cp:coreProperties>
</file>