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4A" w:rsidRPr="00277202" w:rsidRDefault="00E24C4E" w:rsidP="0027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3620" cy="2331720"/>
            <wp:effectExtent l="0" t="0" r="0" b="0"/>
            <wp:docPr id="1" name="Рисунок 1" descr="C:\Users\Malika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a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4E" w:rsidRPr="00277202" w:rsidRDefault="00E24C4E" w:rsidP="0027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психолингвистикалық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оқу-эксперименттік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зертханасын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Э.Д.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Сүлейменова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құрған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(2000).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күннен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зертханада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штаттан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кеңесшілер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Грегори Томсон (Альберта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Канада)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Нұрсұлу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Жамалбекқызы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Шәймерденова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(Л.Н. Гумилев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атындағы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ЕҰУ, Астана)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Әл-Фараби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атындағы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ҚазҰУ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кеңесінің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шешімімен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(30.12.2019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№690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лингвистика,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теориясы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тәжірибесі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филологиясы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кафедрасының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ауыстырылды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(кафедра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меңгерушісі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Аймағамбетова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4C4E" w:rsidRPr="00277202" w:rsidRDefault="00E24C4E" w:rsidP="0027720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200" cy="1645920"/>
            <wp:effectExtent l="0" t="0" r="0" b="0"/>
            <wp:docPr id="3" name="Рисунок 3" descr="C:\Users\Malika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ika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202" w:rsidRPr="002772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Ғылыми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зертхана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жетекшісі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principal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researcher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филология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ғылымдарының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ЖМ ХҒА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академигі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ПГМУ-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профессоры, INTAS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Scientists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scientists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ҚХА ҰЭЖ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Халықаралық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славянистер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комитетінің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МАПРЯЛ президиум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КАЗПРЯЛ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ҚазҰУ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Flagship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ACCELS (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American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Councils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бағдарламасының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академиялық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директоры,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әл-Фараби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атындағы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ҚазҰУ-дың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Шетел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филилологиясы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аударма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профессоры</w:t>
      </w:r>
      <w:r w:rsidR="00277202" w:rsidRPr="00277202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СУЛЕЙМЕНОВА ЭЛЕАНОРА ДЮСЕНОВНА</w:t>
      </w:r>
    </w:p>
    <w:p w:rsidR="00E24C4E" w:rsidRPr="00277202" w:rsidRDefault="00E24C4E" w:rsidP="0027720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C4E" w:rsidRPr="00277202" w:rsidRDefault="00E24C4E" w:rsidP="0027720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C4E" w:rsidRPr="00277202" w:rsidRDefault="00E24C4E" w:rsidP="0027720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8320" cy="1607820"/>
            <wp:effectExtent l="0" t="0" r="0" b="0"/>
            <wp:docPr id="4" name="Рисунок 4" descr="C:\Users\Malika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ika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202" w:rsidRPr="002772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Жетекші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ғылыми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қызметкер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leading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researcher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- филология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ғылымдарының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М.В.Ломоносов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атындағы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Мәскеу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мемлекеттік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университетінің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«Филология»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профессоры,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Ш.Уалиханов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атындағы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ҚМУ-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профессоры, ҰЭК ҰАО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КазПРЯЛ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бағдарламалар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комитетінің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Әл-Фараби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атындағы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ҚазҰУ-дың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филологиясы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әдебиеті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профессоры – </w:t>
      </w:r>
      <w:r w:rsidR="00277202" w:rsidRPr="00277202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ШАЙМЕРДЕНОВА НҰРСҰЛУ ЖАМАЛБЕКҚЫЗЫ</w:t>
      </w:r>
    </w:p>
    <w:p w:rsidR="00E24C4E" w:rsidRPr="00277202" w:rsidRDefault="00E24C4E" w:rsidP="0027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4E" w:rsidRPr="00277202" w:rsidRDefault="00E24C4E" w:rsidP="0027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60220" cy="1630680"/>
            <wp:effectExtent l="0" t="0" r="0" b="7620"/>
            <wp:docPr id="5" name="Рисунок 5" descr="C:\Users\Malika\Desktop\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ika\Desktop\Без названия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202" w:rsidRPr="002772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Штаттан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ғылыми</w:t>
      </w:r>
      <w:proofErr w:type="spellEnd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кеңесші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доктор,  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Slavic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Literatures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Harvard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 МАПРЯЛ вице-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Украина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академигі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тілдерін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зерттеу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жөніндегі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академиялық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комитеттің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басшысы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Тілдер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жөніндегі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Ұлттық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комитеттің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төрағасы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(JNCL),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Халықаралық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мәдени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алмасу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Альянсының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төрағасы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Өзбекстан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Қырғызстан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Ресей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университеттерінің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профессоры,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BrynMawr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Emeritus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 ACCELS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ғылыми-зерттеу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орталығының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директоры, 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Халықаралық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жөніндегі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американдық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кеңестердің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(ACTR/ACCELS –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American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Councils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құрылтайшысы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президенті</w:t>
      </w:r>
      <w:proofErr w:type="spellEnd"/>
      <w:r w:rsidR="00277202" w:rsidRPr="00277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- </w:t>
      </w:r>
      <w:r w:rsidR="00277202" w:rsidRPr="00277202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ДЭН ДЭВИДСОН  (DAN DAVIDSON)</w:t>
      </w:r>
    </w:p>
    <w:p w:rsidR="00E24C4E" w:rsidRPr="00277202" w:rsidRDefault="00E24C4E" w:rsidP="0027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202" w:rsidRPr="00277202" w:rsidRDefault="00E24C4E" w:rsidP="00277202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rPr>
          <w:color w:val="000000"/>
        </w:rPr>
      </w:pPr>
      <w:r w:rsidRPr="00277202">
        <w:rPr>
          <w:b/>
          <w:bCs/>
          <w:noProof/>
        </w:rPr>
        <w:drawing>
          <wp:inline distT="0" distB="0" distL="0" distR="0">
            <wp:extent cx="1371600" cy="1531620"/>
            <wp:effectExtent l="0" t="0" r="0" b="0"/>
            <wp:docPr id="6" name="Рисунок 6" descr="C:\Users\Malika\Desktop\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lika\Desktop\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202" w:rsidRPr="00277202">
        <w:rPr>
          <w:rStyle w:val="a4"/>
          <w:color w:val="000000"/>
        </w:rPr>
        <w:t xml:space="preserve"> </w:t>
      </w:r>
      <w:proofErr w:type="spellStart"/>
      <w:r w:rsidR="00277202" w:rsidRPr="00277202">
        <w:rPr>
          <w:b/>
          <w:bCs/>
          <w:color w:val="000000"/>
        </w:rPr>
        <w:t>Штаттан</w:t>
      </w:r>
      <w:proofErr w:type="spellEnd"/>
      <w:r w:rsidR="00277202" w:rsidRPr="00277202">
        <w:rPr>
          <w:b/>
          <w:bCs/>
          <w:color w:val="000000"/>
        </w:rPr>
        <w:t xml:space="preserve"> </w:t>
      </w:r>
      <w:proofErr w:type="spellStart"/>
      <w:r w:rsidR="00277202" w:rsidRPr="00277202">
        <w:rPr>
          <w:b/>
          <w:bCs/>
          <w:color w:val="000000"/>
        </w:rPr>
        <w:t>тыс</w:t>
      </w:r>
      <w:proofErr w:type="spellEnd"/>
      <w:r w:rsidR="00277202" w:rsidRPr="00277202">
        <w:rPr>
          <w:b/>
          <w:bCs/>
          <w:color w:val="000000"/>
        </w:rPr>
        <w:t xml:space="preserve"> </w:t>
      </w:r>
      <w:proofErr w:type="spellStart"/>
      <w:r w:rsidR="00277202" w:rsidRPr="00277202">
        <w:rPr>
          <w:b/>
          <w:bCs/>
          <w:color w:val="000000"/>
        </w:rPr>
        <w:t>ғылыми</w:t>
      </w:r>
      <w:proofErr w:type="spellEnd"/>
      <w:r w:rsidR="00277202" w:rsidRPr="00277202">
        <w:rPr>
          <w:b/>
          <w:bCs/>
          <w:color w:val="000000"/>
        </w:rPr>
        <w:t xml:space="preserve"> </w:t>
      </w:r>
      <w:proofErr w:type="spellStart"/>
      <w:r w:rsidR="00277202" w:rsidRPr="00277202">
        <w:rPr>
          <w:b/>
          <w:bCs/>
          <w:color w:val="000000"/>
        </w:rPr>
        <w:t>кеңесші</w:t>
      </w:r>
      <w:proofErr w:type="spellEnd"/>
      <w:r w:rsidR="00277202" w:rsidRPr="00277202">
        <w:rPr>
          <w:color w:val="000000"/>
        </w:rPr>
        <w:t> -  </w:t>
      </w:r>
      <w:proofErr w:type="spellStart"/>
      <w:r w:rsidR="00277202" w:rsidRPr="00277202">
        <w:rPr>
          <w:color w:val="000000"/>
        </w:rPr>
        <w:t>тіл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теориясы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бойынша</w:t>
      </w:r>
      <w:proofErr w:type="spellEnd"/>
      <w:r w:rsidR="00277202" w:rsidRPr="00277202">
        <w:rPr>
          <w:color w:val="000000"/>
        </w:rPr>
        <w:t xml:space="preserve"> филология </w:t>
      </w:r>
      <w:proofErr w:type="spellStart"/>
      <w:r w:rsidR="00277202" w:rsidRPr="00277202">
        <w:rPr>
          <w:color w:val="000000"/>
        </w:rPr>
        <w:t>ғылымдарының</w:t>
      </w:r>
      <w:proofErr w:type="spellEnd"/>
      <w:r w:rsidR="00277202" w:rsidRPr="00277202">
        <w:rPr>
          <w:color w:val="000000"/>
        </w:rPr>
        <w:t xml:space="preserve"> кандидаты, («</w:t>
      </w:r>
      <w:proofErr w:type="spellStart"/>
      <w:r w:rsidR="00277202" w:rsidRPr="00277202">
        <w:rPr>
          <w:color w:val="000000"/>
        </w:rPr>
        <w:t>Тілдерді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жоспарлау</w:t>
      </w:r>
      <w:proofErr w:type="spellEnd"/>
      <w:r w:rsidR="00277202" w:rsidRPr="00277202">
        <w:rPr>
          <w:color w:val="000000"/>
        </w:rPr>
        <w:t xml:space="preserve">: </w:t>
      </w:r>
      <w:proofErr w:type="spellStart"/>
      <w:r w:rsidR="00277202" w:rsidRPr="00277202">
        <w:rPr>
          <w:color w:val="000000"/>
        </w:rPr>
        <w:t>үлгі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типологиясы</w:t>
      </w:r>
      <w:proofErr w:type="spellEnd"/>
      <w:r w:rsidR="00277202" w:rsidRPr="00277202">
        <w:rPr>
          <w:color w:val="000000"/>
        </w:rPr>
        <w:t xml:space="preserve">», </w:t>
      </w:r>
      <w:proofErr w:type="spellStart"/>
      <w:r w:rsidR="00277202" w:rsidRPr="00277202">
        <w:rPr>
          <w:color w:val="000000"/>
        </w:rPr>
        <w:t>әл-Фараби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атындағы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ҚазҰУ</w:t>
      </w:r>
      <w:proofErr w:type="spellEnd"/>
      <w:r w:rsidR="00277202" w:rsidRPr="00277202">
        <w:rPr>
          <w:color w:val="000000"/>
        </w:rPr>
        <w:t xml:space="preserve">). </w:t>
      </w:r>
      <w:proofErr w:type="spellStart"/>
      <w:r w:rsidR="00277202" w:rsidRPr="00277202">
        <w:rPr>
          <w:color w:val="000000"/>
        </w:rPr>
        <w:t>Әлеуметтік</w:t>
      </w:r>
      <w:proofErr w:type="spellEnd"/>
      <w:r w:rsidR="00277202" w:rsidRPr="00277202">
        <w:rPr>
          <w:color w:val="000000"/>
        </w:rPr>
        <w:t xml:space="preserve"> </w:t>
      </w:r>
      <w:proofErr w:type="gramStart"/>
      <w:r w:rsidR="00277202" w:rsidRPr="00277202">
        <w:rPr>
          <w:color w:val="000000"/>
        </w:rPr>
        <w:t>лингвистика  </w:t>
      </w:r>
      <w:proofErr w:type="spellStart"/>
      <w:r w:rsidR="00277202" w:rsidRPr="00277202">
        <w:rPr>
          <w:color w:val="000000"/>
        </w:rPr>
        <w:t>бойынша</w:t>
      </w:r>
      <w:proofErr w:type="spellEnd"/>
      <w:proofErr w:type="gram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PhD</w:t>
      </w:r>
      <w:proofErr w:type="spellEnd"/>
      <w:r w:rsidR="00277202" w:rsidRPr="00277202">
        <w:rPr>
          <w:color w:val="000000"/>
        </w:rPr>
        <w:t xml:space="preserve"> доктор, («</w:t>
      </w:r>
      <w:proofErr w:type="spellStart"/>
      <w:r w:rsidR="00277202" w:rsidRPr="00277202">
        <w:rPr>
          <w:color w:val="000000"/>
        </w:rPr>
        <w:t>Language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shift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and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revival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in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Kazakhstan</w:t>
      </w:r>
      <w:proofErr w:type="spellEnd"/>
      <w:r w:rsidR="00277202" w:rsidRPr="00277202">
        <w:rPr>
          <w:color w:val="000000"/>
        </w:rPr>
        <w:t xml:space="preserve">: A </w:t>
      </w:r>
      <w:proofErr w:type="spellStart"/>
      <w:r w:rsidR="00277202" w:rsidRPr="00277202">
        <w:rPr>
          <w:color w:val="000000"/>
        </w:rPr>
        <w:t>multi-level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analysis</w:t>
      </w:r>
      <w:proofErr w:type="spellEnd"/>
      <w:r w:rsidR="00277202" w:rsidRPr="00277202">
        <w:rPr>
          <w:color w:val="000000"/>
        </w:rPr>
        <w:t xml:space="preserve">», </w:t>
      </w:r>
      <w:proofErr w:type="spellStart"/>
      <w:r w:rsidR="00277202" w:rsidRPr="00277202">
        <w:rPr>
          <w:color w:val="000000"/>
        </w:rPr>
        <w:t>King's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College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London</w:t>
      </w:r>
      <w:proofErr w:type="spellEnd"/>
      <w:r w:rsidR="00277202" w:rsidRPr="00277202">
        <w:rPr>
          <w:color w:val="000000"/>
        </w:rPr>
        <w:t xml:space="preserve">»),  КИМЭП </w:t>
      </w:r>
      <w:proofErr w:type="spellStart"/>
      <w:r w:rsidR="00277202" w:rsidRPr="00277202">
        <w:rPr>
          <w:color w:val="000000"/>
        </w:rPr>
        <w:t>Білім</w:t>
      </w:r>
      <w:proofErr w:type="spellEnd"/>
      <w:r w:rsidR="00277202" w:rsidRPr="00277202">
        <w:rPr>
          <w:color w:val="000000"/>
        </w:rPr>
        <w:t xml:space="preserve"> беру </w:t>
      </w:r>
      <w:proofErr w:type="spellStart"/>
      <w:r w:rsidR="00277202" w:rsidRPr="00277202">
        <w:rPr>
          <w:color w:val="000000"/>
        </w:rPr>
        <w:t>және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гуманитарлық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ғылымдар</w:t>
      </w:r>
      <w:proofErr w:type="spellEnd"/>
      <w:r w:rsidR="00277202" w:rsidRPr="00277202">
        <w:rPr>
          <w:color w:val="000000"/>
        </w:rPr>
        <w:t xml:space="preserve"> </w:t>
      </w:r>
      <w:proofErr w:type="spellStart"/>
      <w:r w:rsidR="00277202" w:rsidRPr="00277202">
        <w:rPr>
          <w:color w:val="000000"/>
        </w:rPr>
        <w:t>факультетінің</w:t>
      </w:r>
      <w:proofErr w:type="spellEnd"/>
      <w:r w:rsidR="00277202" w:rsidRPr="00277202">
        <w:rPr>
          <w:color w:val="000000"/>
        </w:rPr>
        <w:t xml:space="preserve"> деканы  -  </w:t>
      </w:r>
      <w:r w:rsidR="00277202" w:rsidRPr="00277202">
        <w:rPr>
          <w:b/>
          <w:bCs/>
          <w:i/>
          <w:iCs/>
          <w:color w:val="000000"/>
        </w:rPr>
        <w:t>СМАГУЛОВА ЖҰЛДЫЗ САГИДОЛЛАЕВНА. </w:t>
      </w:r>
    </w:p>
    <w:p w:rsidR="00277202" w:rsidRDefault="00277202" w:rsidP="00277202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ЗЕРТХАНА ҚЫЗМЕТІНІҢ НЕГІЗГІ БАҒЫТТАРЫ: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іргелі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қолданбалы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зерттеулерді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саясаты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сараптамалық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тәжірибелік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зерттеулерге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студенттерді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оқытушылар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ғалымдарды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қатыстыра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зерттеулердің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үдерісімен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байланысын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қамтамассыз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Ғылыми-зерттеу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бағыты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инновациялық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лингвистика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теориясы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жұмыстарының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насихаттау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әріптестермен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ынтымақтастық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лингвистика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мектебін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теориясын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дәңгейдегі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форумдар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б.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шараларын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қамтиды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Білім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бағыты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үдерісімен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тығыз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оқу-әдістемелік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оқу-лексикографиялық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үрдісіне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орындарында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дәрістер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лингвистика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Аудармашылар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мектебін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семинарлар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саясаты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тәжірибесі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функционалдық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сауаттылық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сертификатцияланған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қарқынды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вебинарлар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өткіледі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Имидждік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бағыт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әл-Фараби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атындағы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ҚазҰУ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брендтерін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насихаттап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жетістіктері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артықшылықтары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ақпараттандыру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имидждік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ынтымақтастық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мамандарды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саясаты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өзекті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ғылыми-ақпараттық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іс-шаралар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Зертхананың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бағдарламалық-ақпараттық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қамтамасыз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етілуі</w:t>
      </w:r>
      <w:proofErr w:type="spellEnd"/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Зертхана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PRAAT, VARBRUL, STATVIEW, SUPERANOVA, SPSS, DMASTER (DMX),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ePRIME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CLAN,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SILPhoneticsPackage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компьютерлік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бағдарламалармен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жабдықталған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корпустық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әдістермен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жүргізіледі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Халықаралық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республикалық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ғылыми-зерттеу</w:t>
      </w:r>
      <w:proofErr w:type="spellEnd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жобалары</w:t>
      </w:r>
      <w:proofErr w:type="spellEnd"/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7202" w:rsidRPr="00277202" w:rsidRDefault="00277202" w:rsidP="00277202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Жаппай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сауалнама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сұхбат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материалдарының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нәтижесінде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психолингвистикалық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(INTAS, ACCELS, М.В Ломоносова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атындағы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ММУ,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СПбМУ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РУДН, ММЛУ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іргелі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қолданбалы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ғылыми-зерттеу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жобалары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(ҚР БҒМ, ҚР АКМ, ҚХА, "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Атамекен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ҚР ҰКП)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сәтті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орындалды</w:t>
      </w:r>
      <w:proofErr w:type="spellEnd"/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C4E" w:rsidRPr="00277202" w:rsidRDefault="00277202" w:rsidP="0027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E24C4E" w:rsidRPr="00277202">
          <w:rPr>
            <w:rFonts w:ascii="Times New Roman" w:eastAsia="Times New Roman" w:hAnsi="Times New Roman" w:cs="Times New Roman"/>
            <w:color w:val="1A4575"/>
            <w:sz w:val="24"/>
            <w:szCs w:val="24"/>
            <w:u w:val="single"/>
            <w:lang w:eastAsia="ru-RU"/>
          </w:rPr>
          <w:t>https://youtu.be/mHDpaORe6rk</w:t>
        </w:r>
      </w:hyperlink>
    </w:p>
    <w:p w:rsidR="00E24C4E" w:rsidRPr="00277202" w:rsidRDefault="00E24C4E" w:rsidP="00277202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277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24C4E" w:rsidRPr="0027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562"/>
    <w:multiLevelType w:val="multilevel"/>
    <w:tmpl w:val="AB1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ADB"/>
    <w:multiLevelType w:val="multilevel"/>
    <w:tmpl w:val="454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6031A"/>
    <w:multiLevelType w:val="multilevel"/>
    <w:tmpl w:val="379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23BE8"/>
    <w:multiLevelType w:val="multilevel"/>
    <w:tmpl w:val="D15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7274A"/>
    <w:multiLevelType w:val="multilevel"/>
    <w:tmpl w:val="EF6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3"/>
    <w:rsid w:val="00277202"/>
    <w:rsid w:val="006F6DE3"/>
    <w:rsid w:val="008D5151"/>
    <w:rsid w:val="00E24C4E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86AB-E545-48C7-8EA3-3E5F3E9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C4E"/>
    <w:rPr>
      <w:b/>
      <w:bCs/>
    </w:rPr>
  </w:style>
  <w:style w:type="paragraph" w:customStyle="1" w:styleId="1">
    <w:name w:val="1"/>
    <w:basedOn w:val="a"/>
    <w:rsid w:val="00E2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11pt0pt"/>
    <w:basedOn w:val="a0"/>
    <w:rsid w:val="00E24C4E"/>
  </w:style>
  <w:style w:type="character" w:styleId="a5">
    <w:name w:val="Hyperlink"/>
    <w:basedOn w:val="a0"/>
    <w:uiPriority w:val="99"/>
    <w:semiHidden/>
    <w:unhideWhenUsed/>
    <w:rsid w:val="00E24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mHDpaORe6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2024-04-04T04:13:00Z</dcterms:created>
  <dcterms:modified xsi:type="dcterms:W3CDTF">2024-04-04T04:21:00Z</dcterms:modified>
</cp:coreProperties>
</file>